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EF" w:rsidRDefault="005651EF" w:rsidP="005651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EF" w:rsidRDefault="005651EF" w:rsidP="005651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Государственная инспекция </w:t>
      </w:r>
    </w:p>
    <w:p w:rsidR="005651EF" w:rsidRDefault="005651EF" w:rsidP="005651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охране объектов культурного наследия Республики Хакасия </w:t>
      </w:r>
    </w:p>
    <w:p w:rsidR="005651EF" w:rsidRDefault="005651EF" w:rsidP="005651E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651EF" w:rsidRDefault="005651EF" w:rsidP="005651EF">
      <w:pPr>
        <w:pStyle w:val="2"/>
        <w:keepNext w:val="0"/>
        <w:widowControl w:val="0"/>
        <w:numPr>
          <w:ilvl w:val="1"/>
          <w:numId w:val="7"/>
        </w:numPr>
        <w:suppressAutoHyphens w:val="0"/>
        <w:ind w:left="0"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ПРИКАЗ</w:t>
      </w:r>
    </w:p>
    <w:p w:rsidR="005651EF" w:rsidRDefault="005651EF" w:rsidP="00565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51EF" w:rsidRDefault="005651EF" w:rsidP="00565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__________ 202</w:t>
      </w:r>
      <w:r w:rsidR="00A26D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№ _______</w:t>
      </w:r>
    </w:p>
    <w:p w:rsidR="005651EF" w:rsidRDefault="005651EF" w:rsidP="00565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51EF" w:rsidRDefault="005651EF" w:rsidP="00565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</w:t>
      </w:r>
    </w:p>
    <w:p w:rsidR="005651EF" w:rsidRDefault="005651EF" w:rsidP="00565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EF" w:rsidRPr="005651EF" w:rsidRDefault="005651EF" w:rsidP="005651EF">
      <w:pPr>
        <w:pStyle w:val="a5"/>
        <w:ind w:left="0"/>
        <w:jc w:val="center"/>
        <w:rPr>
          <w:b/>
          <w:sz w:val="26"/>
          <w:szCs w:val="26"/>
        </w:rPr>
      </w:pPr>
      <w:r w:rsidRPr="005651EF">
        <w:rPr>
          <w:b/>
          <w:sz w:val="26"/>
          <w:szCs w:val="26"/>
        </w:rPr>
        <w:t xml:space="preserve">Об утверждении Программы </w:t>
      </w:r>
    </w:p>
    <w:p w:rsidR="005651EF" w:rsidRPr="005651EF" w:rsidRDefault="005651EF" w:rsidP="00565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1EF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</w:t>
      </w:r>
      <w:r w:rsidRPr="005651EF">
        <w:rPr>
          <w:rFonts w:ascii="Times New Roman" w:hAnsi="Times New Roman" w:cs="Times New Roman"/>
          <w:b/>
          <w:bCs/>
          <w:sz w:val="26"/>
          <w:szCs w:val="26"/>
        </w:rPr>
        <w:t xml:space="preserve"> содержанием, сохранением, использованием, популяризацией и государственной охраной объектов культурного  </w:t>
      </w:r>
    </w:p>
    <w:p w:rsidR="005651EF" w:rsidRPr="005651EF" w:rsidRDefault="005651EF" w:rsidP="00565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51EF">
        <w:rPr>
          <w:rFonts w:ascii="Times New Roman" w:hAnsi="Times New Roman" w:cs="Times New Roman"/>
          <w:b/>
          <w:bCs/>
          <w:sz w:val="26"/>
          <w:szCs w:val="26"/>
        </w:rPr>
        <w:t xml:space="preserve">наследия, </w:t>
      </w:r>
      <w:proofErr w:type="gramStart"/>
      <w:r w:rsidRPr="005651EF">
        <w:rPr>
          <w:rFonts w:ascii="Times New Roman" w:hAnsi="Times New Roman" w:cs="Times New Roman"/>
          <w:b/>
          <w:bCs/>
          <w:sz w:val="26"/>
          <w:szCs w:val="26"/>
        </w:rPr>
        <w:t>расположенных</w:t>
      </w:r>
      <w:proofErr w:type="gramEnd"/>
      <w:r w:rsidRPr="005651EF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</w:t>
      </w:r>
      <w:r w:rsidR="00584F7D">
        <w:rPr>
          <w:rFonts w:ascii="Times New Roman" w:hAnsi="Times New Roman" w:cs="Times New Roman"/>
          <w:b/>
          <w:bCs/>
          <w:sz w:val="26"/>
          <w:szCs w:val="26"/>
        </w:rPr>
        <w:t>ории Республики Хакасия</w:t>
      </w:r>
      <w:r w:rsidR="0024611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84F7D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A26DE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651E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5651EF" w:rsidRDefault="005651EF" w:rsidP="005651EF">
      <w:pPr>
        <w:pStyle w:val="a5"/>
        <w:ind w:left="0"/>
        <w:jc w:val="center"/>
        <w:rPr>
          <w:sz w:val="26"/>
          <w:szCs w:val="26"/>
        </w:rPr>
      </w:pPr>
    </w:p>
    <w:p w:rsidR="005651EF" w:rsidRDefault="005651EF" w:rsidP="00565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к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а ю:</w:t>
      </w:r>
    </w:p>
    <w:p w:rsidR="005651EF" w:rsidRPr="005651EF" w:rsidRDefault="005651EF" w:rsidP="005651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51EF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</w:t>
      </w:r>
      <w:r w:rsidRPr="005651EF">
        <w:rPr>
          <w:rFonts w:ascii="Times New Roman" w:hAnsi="Times New Roman" w:cs="Times New Roman"/>
          <w:bCs/>
          <w:sz w:val="26"/>
          <w:szCs w:val="26"/>
        </w:rPr>
        <w:t xml:space="preserve"> содержанием, сохранением, использованием, популяризацией и государственной охраной объектов </w:t>
      </w:r>
      <w:r w:rsidR="00C25D5C" w:rsidRPr="005651EF">
        <w:rPr>
          <w:rFonts w:ascii="Times New Roman" w:hAnsi="Times New Roman" w:cs="Times New Roman"/>
          <w:bCs/>
          <w:sz w:val="26"/>
          <w:szCs w:val="26"/>
        </w:rPr>
        <w:t>культурного наследия</w:t>
      </w:r>
      <w:r w:rsidRPr="005651EF">
        <w:rPr>
          <w:rFonts w:ascii="Times New Roman" w:hAnsi="Times New Roman" w:cs="Times New Roman"/>
          <w:bCs/>
          <w:sz w:val="26"/>
          <w:szCs w:val="26"/>
        </w:rPr>
        <w:t>, расположенных на территории Республики Хакасия</w:t>
      </w:r>
      <w:r w:rsidR="00246114">
        <w:rPr>
          <w:rFonts w:ascii="Times New Roman" w:hAnsi="Times New Roman" w:cs="Times New Roman"/>
          <w:bCs/>
          <w:sz w:val="26"/>
          <w:szCs w:val="26"/>
        </w:rPr>
        <w:t>,</w:t>
      </w:r>
      <w:r w:rsidRPr="005651EF">
        <w:rPr>
          <w:rFonts w:ascii="Times New Roman" w:hAnsi="Times New Roman" w:cs="Times New Roman"/>
          <w:bCs/>
          <w:sz w:val="26"/>
          <w:szCs w:val="26"/>
        </w:rPr>
        <w:t xml:space="preserve"> на 202</w:t>
      </w:r>
      <w:r w:rsidR="00A26DE1">
        <w:rPr>
          <w:rFonts w:ascii="Times New Roman" w:hAnsi="Times New Roman" w:cs="Times New Roman"/>
          <w:bCs/>
          <w:sz w:val="26"/>
          <w:szCs w:val="26"/>
        </w:rPr>
        <w:t>5</w:t>
      </w:r>
      <w:r w:rsidRPr="005651EF">
        <w:rPr>
          <w:rFonts w:ascii="Times New Roman" w:hAnsi="Times New Roman" w:cs="Times New Roman"/>
          <w:bCs/>
          <w:sz w:val="26"/>
          <w:szCs w:val="26"/>
        </w:rPr>
        <w:t xml:space="preserve"> год,</w:t>
      </w:r>
      <w:r w:rsidRPr="005651EF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5651EF" w:rsidRDefault="005651EF" w:rsidP="005651EF">
      <w:pPr>
        <w:pStyle w:val="ConsPlusTitle"/>
        <w:ind w:firstLine="709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5651EF" w:rsidRDefault="005651EF" w:rsidP="005651EF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5651EF" w:rsidRDefault="005651EF" w:rsidP="00565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790A" w:rsidRDefault="0067790A" w:rsidP="00565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5651EF" w:rsidRDefault="005651EF" w:rsidP="00565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Государственной инспекции по охране </w:t>
      </w:r>
    </w:p>
    <w:p w:rsidR="005651EF" w:rsidRDefault="005651EF" w:rsidP="00565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объектов культурного наследия </w:t>
      </w:r>
    </w:p>
    <w:p w:rsidR="005651EF" w:rsidRDefault="005651EF" w:rsidP="00565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                            </w:t>
      </w:r>
      <w:r w:rsidR="0067790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7790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7790A">
        <w:rPr>
          <w:rFonts w:ascii="Times New Roman" w:hAnsi="Times New Roman" w:cs="Times New Roman"/>
          <w:sz w:val="26"/>
          <w:szCs w:val="26"/>
        </w:rPr>
        <w:t>Д. Левченко</w:t>
      </w:r>
    </w:p>
    <w:p w:rsidR="005651EF" w:rsidRDefault="005651EF" w:rsidP="00565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4E8D" w:rsidRPr="00892EDA" w:rsidRDefault="005651EF" w:rsidP="00892EDA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84E8D" w:rsidTr="00684E8D">
        <w:tc>
          <w:tcPr>
            <w:tcW w:w="3651" w:type="dxa"/>
            <w:hideMark/>
          </w:tcPr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3E18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Государственной инспекции по охране объектов культурного наследия Республики Хакасия </w:t>
            </w:r>
          </w:p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</w:t>
            </w:r>
            <w:r w:rsidR="00C25D5C">
              <w:rPr>
                <w:rFonts w:ascii="Times New Roman" w:hAnsi="Times New Roman" w:cs="Times New Roman"/>
                <w:sz w:val="26"/>
                <w:szCs w:val="26"/>
              </w:rPr>
              <w:t>_»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_______№ _______</w:t>
            </w:r>
          </w:p>
        </w:tc>
      </w:tr>
    </w:tbl>
    <w:p w:rsidR="00684E8D" w:rsidRDefault="00684E8D" w:rsidP="006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5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</w:t>
      </w:r>
    </w:p>
    <w:p w:rsidR="00246114" w:rsidRDefault="00684E8D" w:rsidP="002A56C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2A56C0">
        <w:rPr>
          <w:rFonts w:ascii="Times New Roman" w:hAnsi="Times New Roman" w:cs="Times New Roman"/>
          <w:sz w:val="26"/>
          <w:szCs w:val="26"/>
        </w:rPr>
        <w:t>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государственного контроля (надзора) за состоянием,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содержанием, сохранением, использованием, популяризацией и государственной охраной объектов культурного  наследия</w:t>
      </w:r>
      <w:r w:rsidR="005651EF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684E8D" w:rsidRDefault="005651EF" w:rsidP="002A56C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расположенных на территории Республики Хакасия,</w:t>
      </w:r>
      <w:r w:rsidR="002A56C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4E8D">
        <w:rPr>
          <w:rFonts w:ascii="Times New Roman" w:hAnsi="Times New Roman" w:cs="Times New Roman"/>
          <w:bCs/>
          <w:sz w:val="26"/>
          <w:szCs w:val="26"/>
        </w:rPr>
        <w:t>на 202</w:t>
      </w:r>
      <w:r w:rsidR="00A26DE1">
        <w:rPr>
          <w:rFonts w:ascii="Times New Roman" w:hAnsi="Times New Roman" w:cs="Times New Roman"/>
          <w:bCs/>
          <w:sz w:val="26"/>
          <w:szCs w:val="26"/>
        </w:rPr>
        <w:t>5</w:t>
      </w:r>
      <w:r w:rsidR="00684E8D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:rsidR="00684E8D" w:rsidRDefault="00684E8D" w:rsidP="00684E8D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684E8D" w:rsidRPr="000870FA" w:rsidRDefault="00684E8D" w:rsidP="00684E8D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0870FA">
        <w:rPr>
          <w:sz w:val="26"/>
          <w:szCs w:val="26"/>
        </w:rPr>
        <w:t xml:space="preserve">Раздел 1. Анализ текущего состояния осуществления вида контроля, описание текущего </w:t>
      </w:r>
      <w:r w:rsidR="004D22B0" w:rsidRPr="000870FA">
        <w:rPr>
          <w:sz w:val="26"/>
          <w:szCs w:val="26"/>
        </w:rPr>
        <w:t xml:space="preserve">уровня </w:t>
      </w:r>
      <w:r w:rsidRPr="000870FA">
        <w:rPr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D22B0" w:rsidRPr="000870FA">
        <w:rPr>
          <w:sz w:val="26"/>
          <w:szCs w:val="26"/>
        </w:rPr>
        <w:t xml:space="preserve"> рисков причинения вреда</w:t>
      </w:r>
    </w:p>
    <w:p w:rsidR="00684E8D" w:rsidRPr="000870FA" w:rsidRDefault="00684E8D" w:rsidP="00684E8D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684E8D" w:rsidRPr="00897A9A" w:rsidRDefault="00100110" w:rsidP="00FB5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 </w:t>
      </w:r>
      <w:r w:rsidR="00684E8D" w:rsidRPr="00897A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Государственная инспекция по охране объектов культурного наследия Республики  Хакасия (далее – Госохранинспекция) осуществляет </w:t>
      </w:r>
      <w:r w:rsidR="000870FA" w:rsidRPr="00897A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федеральный </w:t>
      </w:r>
      <w:r w:rsidR="00684E8D" w:rsidRPr="00897A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государственный контроль (надзор) </w:t>
      </w:r>
      <w:r w:rsidRPr="00897A9A">
        <w:rPr>
          <w:rFonts w:ascii="Times New Roman" w:hAnsi="Times New Roman" w:cs="Times New Roman"/>
          <w:sz w:val="26"/>
          <w:szCs w:val="26"/>
        </w:rPr>
        <w:t>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684E8D" w:rsidRPr="00897A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</w:t>
      </w:r>
      <w:r w:rsidR="004D22B0" w:rsidRPr="00897A9A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</w:t>
      </w:r>
      <w:r w:rsidR="00684E8D" w:rsidRPr="00897A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государственный контроль (надзор) в соответствии со статьей 11 </w:t>
      </w:r>
      <w:r w:rsidR="00684E8D" w:rsidRPr="00897A9A">
        <w:rPr>
          <w:rFonts w:ascii="Times New Roman" w:hAnsi="Times New Roman" w:cs="Times New Roman"/>
          <w:sz w:val="26"/>
          <w:szCs w:val="26"/>
        </w:rPr>
        <w:t xml:space="preserve">Федерального закона от 25.06.2002 № 73-ФЗ «Об объектах культурного наследия (памятниках истории и культуры) народов Российской Федерации» </w:t>
      </w:r>
      <w:r w:rsidR="00684E8D" w:rsidRPr="00897A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Федеральный закон № 73-ФЗ), </w:t>
      </w:r>
      <w:r w:rsidR="00C63292" w:rsidRPr="00897A9A">
        <w:rPr>
          <w:rFonts w:ascii="Times New Roman" w:hAnsi="Times New Roman" w:cs="Times New Roman"/>
          <w:sz w:val="26"/>
          <w:szCs w:val="26"/>
        </w:rPr>
        <w:t>Положени</w:t>
      </w:r>
      <w:r w:rsidR="00FB5957" w:rsidRPr="00897A9A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="00C63292" w:rsidRPr="00897A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3292" w:rsidRPr="00897A9A">
        <w:rPr>
          <w:rFonts w:ascii="Times New Roman" w:hAnsi="Times New Roman" w:cs="Times New Roman"/>
          <w:sz w:val="26"/>
          <w:szCs w:val="26"/>
        </w:rPr>
        <w:t>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684E8D" w:rsidRPr="00897A9A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Правительства </w:t>
      </w:r>
      <w:r w:rsidR="00C63292" w:rsidRPr="00897A9A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684E8D" w:rsidRPr="00897A9A">
        <w:rPr>
          <w:rFonts w:ascii="Times New Roman" w:hAnsi="Times New Roman" w:cs="Times New Roman"/>
          <w:sz w:val="26"/>
          <w:szCs w:val="26"/>
        </w:rPr>
        <w:t xml:space="preserve"> от </w:t>
      </w:r>
      <w:r w:rsidR="00C63292" w:rsidRPr="00897A9A">
        <w:rPr>
          <w:rFonts w:ascii="Times New Roman" w:hAnsi="Times New Roman" w:cs="Times New Roman"/>
          <w:sz w:val="26"/>
          <w:szCs w:val="26"/>
        </w:rPr>
        <w:t xml:space="preserve">30.06.2021  </w:t>
      </w:r>
      <w:r w:rsidR="00684E8D" w:rsidRPr="00897A9A">
        <w:rPr>
          <w:rFonts w:ascii="Times New Roman" w:hAnsi="Times New Roman" w:cs="Times New Roman"/>
          <w:sz w:val="26"/>
          <w:szCs w:val="26"/>
        </w:rPr>
        <w:t xml:space="preserve"> № </w:t>
      </w:r>
      <w:r w:rsidR="00C63292" w:rsidRPr="00897A9A">
        <w:rPr>
          <w:rFonts w:ascii="Times New Roman" w:hAnsi="Times New Roman" w:cs="Times New Roman"/>
          <w:sz w:val="26"/>
          <w:szCs w:val="26"/>
        </w:rPr>
        <w:t>1093</w:t>
      </w:r>
      <w:r w:rsidR="00A2680E" w:rsidRPr="00897A9A">
        <w:rPr>
          <w:rFonts w:ascii="Times New Roman" w:hAnsi="Times New Roman" w:cs="Times New Roman"/>
          <w:sz w:val="26"/>
          <w:szCs w:val="26"/>
        </w:rPr>
        <w:t xml:space="preserve">, </w:t>
      </w:r>
      <w:r w:rsidR="00FB5957" w:rsidRPr="00897A9A">
        <w:rPr>
          <w:rFonts w:ascii="Times New Roman" w:hAnsi="Times New Roman" w:cs="Times New Roman"/>
          <w:sz w:val="26"/>
          <w:szCs w:val="26"/>
        </w:rPr>
        <w:t>п</w:t>
      </w:r>
      <w:r w:rsidR="00A2680E" w:rsidRPr="00897A9A">
        <w:rPr>
          <w:rFonts w:ascii="Times New Roman" w:hAnsi="Times New Roman" w:cs="Times New Roman"/>
          <w:sz w:val="26"/>
          <w:szCs w:val="26"/>
        </w:rPr>
        <w:t>остановление</w:t>
      </w:r>
      <w:r w:rsidR="00FB5957" w:rsidRPr="00897A9A">
        <w:rPr>
          <w:rFonts w:ascii="Times New Roman" w:hAnsi="Times New Roman" w:cs="Times New Roman"/>
          <w:sz w:val="26"/>
          <w:szCs w:val="26"/>
        </w:rPr>
        <w:t>м</w:t>
      </w:r>
      <w:r w:rsidR="00A2680E" w:rsidRPr="00897A9A">
        <w:rPr>
          <w:rFonts w:ascii="Times New Roman" w:hAnsi="Times New Roman" w:cs="Times New Roman"/>
          <w:sz w:val="26"/>
          <w:szCs w:val="26"/>
        </w:rPr>
        <w:t xml:space="preserve"> Главы Республики Хакасия - Председателя Правительства Республики Хакасия от 11.06.2013 </w:t>
      </w:r>
      <w:r w:rsidR="00FB5957" w:rsidRPr="00897A9A">
        <w:rPr>
          <w:rFonts w:ascii="Times New Roman" w:hAnsi="Times New Roman" w:cs="Times New Roman"/>
          <w:sz w:val="26"/>
          <w:szCs w:val="26"/>
        </w:rPr>
        <w:t>№</w:t>
      </w:r>
      <w:r w:rsidR="00A2680E" w:rsidRPr="00897A9A">
        <w:rPr>
          <w:rFonts w:ascii="Times New Roman" w:hAnsi="Times New Roman" w:cs="Times New Roman"/>
          <w:sz w:val="26"/>
          <w:szCs w:val="26"/>
        </w:rPr>
        <w:t xml:space="preserve"> 33-ПП </w:t>
      </w:r>
      <w:r w:rsidR="00FB5957" w:rsidRPr="00897A9A">
        <w:rPr>
          <w:rFonts w:ascii="Times New Roman" w:hAnsi="Times New Roman" w:cs="Times New Roman"/>
          <w:sz w:val="26"/>
          <w:szCs w:val="26"/>
        </w:rPr>
        <w:t>«</w:t>
      </w:r>
      <w:r w:rsidR="00A2680E" w:rsidRPr="00897A9A">
        <w:rPr>
          <w:rFonts w:ascii="Times New Roman" w:hAnsi="Times New Roman" w:cs="Times New Roman"/>
          <w:sz w:val="26"/>
          <w:szCs w:val="26"/>
        </w:rPr>
        <w:t>Об организации деятельности по осуществлению переданных полномочий Российской Федерации в области государственной охраны объектов культурного наследия федерального значения</w:t>
      </w:r>
      <w:r w:rsidR="00FB5957" w:rsidRPr="00897A9A">
        <w:rPr>
          <w:rFonts w:ascii="Times New Roman" w:hAnsi="Times New Roman" w:cs="Times New Roman"/>
          <w:sz w:val="26"/>
          <w:szCs w:val="26"/>
        </w:rPr>
        <w:t>»</w:t>
      </w:r>
      <w:r w:rsidR="00A2680E" w:rsidRPr="00897A9A">
        <w:rPr>
          <w:rFonts w:ascii="Times New Roman" w:hAnsi="Times New Roman" w:cs="Times New Roman"/>
          <w:sz w:val="26"/>
          <w:szCs w:val="26"/>
        </w:rPr>
        <w:t>, Положени</w:t>
      </w:r>
      <w:r w:rsidR="00FB5957" w:rsidRPr="00897A9A">
        <w:rPr>
          <w:rFonts w:ascii="Times New Roman" w:hAnsi="Times New Roman" w:cs="Times New Roman"/>
          <w:sz w:val="26"/>
          <w:szCs w:val="26"/>
        </w:rPr>
        <w:t>ем</w:t>
      </w:r>
      <w:r w:rsidR="00A2680E" w:rsidRPr="00897A9A">
        <w:rPr>
          <w:rFonts w:ascii="Times New Roman" w:hAnsi="Times New Roman" w:cs="Times New Roman"/>
          <w:sz w:val="26"/>
          <w:szCs w:val="26"/>
        </w:rPr>
        <w:t xml:space="preserve"> о Государственной инспекции по охране</w:t>
      </w:r>
      <w:proofErr w:type="gramEnd"/>
      <w:r w:rsidR="00A2680E" w:rsidRPr="00897A9A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Республики Хакасия, утвержденного постановлением Правительства Республики Хакасия от 29.12.2016 № 645</w:t>
      </w:r>
      <w:r w:rsidR="00684E8D" w:rsidRPr="00897A9A">
        <w:rPr>
          <w:rFonts w:ascii="Times New Roman" w:hAnsi="Times New Roman" w:cs="Times New Roman"/>
          <w:sz w:val="26"/>
          <w:szCs w:val="26"/>
        </w:rPr>
        <w:t>.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Предметом </w:t>
      </w:r>
      <w:r w:rsidRPr="00263AD6">
        <w:rPr>
          <w:sz w:val="26"/>
          <w:szCs w:val="26"/>
        </w:rPr>
        <w:t xml:space="preserve">федерального государственного контроля (надзора) в области охраны объектов культурного наследия </w:t>
      </w:r>
      <w:r>
        <w:rPr>
          <w:sz w:val="26"/>
          <w:szCs w:val="26"/>
        </w:rPr>
        <w:t>является</w:t>
      </w:r>
      <w:r w:rsidRPr="00263AD6">
        <w:rPr>
          <w:sz w:val="26"/>
          <w:szCs w:val="26"/>
        </w:rPr>
        <w:t xml:space="preserve"> соблюдение юридическими лицами, индивидуальными предпринимателями и гражданами в отношении объектов культурного наследия федерального значения, зон охраны объектов культурного наследия федерального значения, защитных зон объектов культурного наследия федерального значения установленных Федеральным законом</w:t>
      </w:r>
      <w:r>
        <w:rPr>
          <w:sz w:val="26"/>
          <w:szCs w:val="26"/>
        </w:rPr>
        <w:t xml:space="preserve"> № 73-ФЗ</w:t>
      </w:r>
      <w:r w:rsidRPr="00263AD6">
        <w:rPr>
          <w:sz w:val="26"/>
          <w:szCs w:val="26"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</w:t>
      </w:r>
      <w:proofErr w:type="gramEnd"/>
      <w:r w:rsidRPr="00263AD6">
        <w:rPr>
          <w:sz w:val="26"/>
          <w:szCs w:val="26"/>
        </w:rPr>
        <w:t xml:space="preserve"> иными нормативными правовыми актами субъектов Российской Федерации обязательных требований в области охраны объектов культурного наследия, включая: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>требования охранных обязательств собственников или иных законных владельцев объектов культурного наследия;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lastRenderedPageBreak/>
        <w:t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 xml:space="preserve">требования к градостроительным регламентам в границах </w:t>
      </w:r>
      <w:proofErr w:type="gramStart"/>
      <w:r w:rsidRPr="00263AD6">
        <w:rPr>
          <w:sz w:val="26"/>
          <w:szCs w:val="26"/>
        </w:rPr>
        <w:t>территорий зон охраны объекта культурного наследия</w:t>
      </w:r>
      <w:proofErr w:type="gramEnd"/>
      <w:r w:rsidRPr="00263AD6">
        <w:rPr>
          <w:sz w:val="26"/>
          <w:szCs w:val="26"/>
        </w:rPr>
        <w:t>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>требования, содержащиеся в разрешительных документах, выданных федеральным органом охраны объектов куль</w:t>
      </w:r>
      <w:r w:rsidR="00C06D81">
        <w:rPr>
          <w:sz w:val="26"/>
          <w:szCs w:val="26"/>
        </w:rPr>
        <w:t>турного наследия и региональным</w:t>
      </w:r>
      <w:r w:rsidRPr="00263AD6">
        <w:rPr>
          <w:sz w:val="26"/>
          <w:szCs w:val="26"/>
        </w:rPr>
        <w:t xml:space="preserve"> ор</w:t>
      </w:r>
      <w:r w:rsidR="00C06D81">
        <w:rPr>
          <w:sz w:val="26"/>
          <w:szCs w:val="26"/>
        </w:rPr>
        <w:t>ганом</w:t>
      </w:r>
      <w:r w:rsidRPr="00263AD6">
        <w:rPr>
          <w:sz w:val="26"/>
          <w:szCs w:val="26"/>
        </w:rPr>
        <w:t xml:space="preserve"> охраны объектов культурного наследия в соответствии с законодательством об охране объектов культурного наследия;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>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>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>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263AD6" w:rsidRPr="00263AD6" w:rsidRDefault="00263AD6" w:rsidP="00263AD6">
      <w:pPr>
        <w:pStyle w:val="a5"/>
        <w:autoSpaceDE w:val="0"/>
        <w:autoSpaceDN w:val="0"/>
        <w:adjustRightInd w:val="0"/>
        <w:spacing w:before="260"/>
        <w:ind w:left="0" w:firstLine="709"/>
        <w:jc w:val="both"/>
        <w:rPr>
          <w:sz w:val="26"/>
          <w:szCs w:val="26"/>
        </w:rPr>
      </w:pPr>
      <w:r w:rsidRPr="00263AD6">
        <w:rPr>
          <w:sz w:val="26"/>
          <w:szCs w:val="26"/>
        </w:rPr>
        <w:t>меры по обеспечению сохранности объектов культурного наследия,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</w:t>
      </w:r>
      <w:r>
        <w:rPr>
          <w:sz w:val="26"/>
          <w:szCs w:val="26"/>
        </w:rPr>
        <w:t>ю объектов культурного наследия.</w:t>
      </w:r>
    </w:p>
    <w:p w:rsidR="00684E8D" w:rsidRPr="00C63292" w:rsidRDefault="00684E8D" w:rsidP="00E6682D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6"/>
          <w:szCs w:val="26"/>
        </w:rPr>
      </w:pPr>
      <w:proofErr w:type="gramStart"/>
      <w:r w:rsidRPr="00C63292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E819A5">
        <w:rPr>
          <w:sz w:val="26"/>
          <w:szCs w:val="26"/>
        </w:rPr>
        <w:t xml:space="preserve">федерального </w:t>
      </w:r>
      <w:r w:rsidRPr="00C63292">
        <w:rPr>
          <w:sz w:val="26"/>
          <w:szCs w:val="26"/>
        </w:rPr>
        <w:t xml:space="preserve">государственного контроля (надзора) (далее – Программа) разработана в соответствии со </w:t>
      </w:r>
      <w:hyperlink r:id="rId9" w:history="1">
        <w:r w:rsidRPr="00C63292">
          <w:rPr>
            <w:rStyle w:val="a3"/>
            <w:color w:val="auto"/>
            <w:sz w:val="26"/>
            <w:szCs w:val="26"/>
            <w:u w:val="none"/>
          </w:rPr>
          <w:t xml:space="preserve">статьей </w:t>
        </w:r>
      </w:hyperlink>
      <w:r w:rsidRPr="00C63292">
        <w:rPr>
          <w:rStyle w:val="a3"/>
          <w:color w:val="auto"/>
          <w:sz w:val="26"/>
          <w:szCs w:val="26"/>
          <w:u w:val="none"/>
        </w:rPr>
        <w:t>44</w:t>
      </w:r>
      <w:r w:rsidRPr="00C63292">
        <w:rPr>
          <w:sz w:val="26"/>
          <w:szCs w:val="26"/>
        </w:rPr>
        <w:t xml:space="preserve"> Федерального закона от 3</w:t>
      </w:r>
      <w:r w:rsidR="00C63292">
        <w:rPr>
          <w:sz w:val="26"/>
          <w:szCs w:val="26"/>
        </w:rPr>
        <w:t xml:space="preserve">1.07.2020 № 248-ФЗ </w:t>
      </w:r>
      <w:r w:rsidRPr="00C63292">
        <w:rPr>
          <w:sz w:val="26"/>
          <w:szCs w:val="26"/>
        </w:rPr>
        <w:t>«О государственном контроле (надзоре) и муниципальном контроле в Российской Федерации» и Правил</w:t>
      </w:r>
      <w:r w:rsidR="00892EDA">
        <w:rPr>
          <w:sz w:val="26"/>
          <w:szCs w:val="26"/>
        </w:rPr>
        <w:t>ами</w:t>
      </w:r>
      <w:r w:rsidRPr="00C63292">
        <w:rPr>
          <w:sz w:val="26"/>
          <w:szCs w:val="26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 утвержденных постановлением Правительства Российской Федерации</w:t>
      </w:r>
      <w:proofErr w:type="gramEnd"/>
      <w:r w:rsidRPr="00C63292">
        <w:rPr>
          <w:sz w:val="26"/>
          <w:szCs w:val="26"/>
        </w:rPr>
        <w:t xml:space="preserve"> от 25 июня 2021 года № 990.</w:t>
      </w:r>
    </w:p>
    <w:p w:rsidR="00684E8D" w:rsidRDefault="00684E8D" w:rsidP="00684E8D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соблюдение </w:t>
      </w:r>
      <w:r w:rsidR="00E819A5">
        <w:rPr>
          <w:sz w:val="26"/>
          <w:szCs w:val="26"/>
        </w:rPr>
        <w:t>контролируемыми лицами</w:t>
      </w:r>
      <w:r>
        <w:rPr>
          <w:sz w:val="26"/>
          <w:szCs w:val="26"/>
        </w:rPr>
        <w:t xml:space="preserve">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:rsidR="00684E8D" w:rsidRPr="000A5D80" w:rsidRDefault="00684E8D" w:rsidP="00E6682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D8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0A5D80" w:rsidRPr="000A5D80">
        <w:rPr>
          <w:rFonts w:ascii="Times New Roman" w:hAnsi="Times New Roman" w:cs="Times New Roman"/>
          <w:sz w:val="26"/>
          <w:szCs w:val="26"/>
        </w:rPr>
        <w:t>01</w:t>
      </w:r>
      <w:r w:rsidRPr="000A5D80">
        <w:rPr>
          <w:rFonts w:ascii="Times New Roman" w:hAnsi="Times New Roman" w:cs="Times New Roman"/>
          <w:sz w:val="26"/>
          <w:szCs w:val="26"/>
        </w:rPr>
        <w:t>.</w:t>
      </w:r>
      <w:r w:rsidR="000A5D80" w:rsidRPr="000A5D80">
        <w:rPr>
          <w:rFonts w:ascii="Times New Roman" w:hAnsi="Times New Roman" w:cs="Times New Roman"/>
          <w:sz w:val="26"/>
          <w:szCs w:val="26"/>
        </w:rPr>
        <w:t>1</w:t>
      </w:r>
      <w:r w:rsidRPr="000A5D80">
        <w:rPr>
          <w:rFonts w:ascii="Times New Roman" w:hAnsi="Times New Roman" w:cs="Times New Roman"/>
          <w:sz w:val="26"/>
          <w:szCs w:val="26"/>
        </w:rPr>
        <w:t>0.202</w:t>
      </w:r>
      <w:r w:rsidR="00F70015">
        <w:rPr>
          <w:rFonts w:ascii="Times New Roman" w:hAnsi="Times New Roman" w:cs="Times New Roman"/>
          <w:sz w:val="26"/>
          <w:szCs w:val="26"/>
        </w:rPr>
        <w:t>4</w:t>
      </w:r>
      <w:r w:rsidRPr="000A5D80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 находится </w:t>
      </w:r>
      <w:r w:rsidR="00C929CE" w:rsidRPr="000A5D80">
        <w:rPr>
          <w:rFonts w:ascii="Times New Roman" w:hAnsi="Times New Roman" w:cs="Times New Roman"/>
          <w:sz w:val="26"/>
          <w:szCs w:val="26"/>
        </w:rPr>
        <w:t>10</w:t>
      </w:r>
      <w:r w:rsidR="00CE0F75">
        <w:rPr>
          <w:rFonts w:ascii="Times New Roman" w:hAnsi="Times New Roman" w:cs="Times New Roman"/>
          <w:sz w:val="26"/>
          <w:szCs w:val="26"/>
        </w:rPr>
        <w:t>61 объект</w:t>
      </w:r>
      <w:r w:rsidRPr="000A5D80">
        <w:rPr>
          <w:rFonts w:ascii="Times New Roman" w:hAnsi="Times New Roman" w:cs="Times New Roman"/>
          <w:sz w:val="26"/>
          <w:szCs w:val="26"/>
        </w:rPr>
        <w:t xml:space="preserve"> культурного наследия </w:t>
      </w:r>
      <w:r w:rsidR="00C929CE" w:rsidRPr="000A5D80">
        <w:rPr>
          <w:rFonts w:ascii="Times New Roman" w:hAnsi="Times New Roman" w:cs="Times New Roman"/>
          <w:sz w:val="26"/>
          <w:szCs w:val="26"/>
        </w:rPr>
        <w:t>федерального</w:t>
      </w:r>
      <w:r w:rsidRPr="000A5D80">
        <w:rPr>
          <w:rFonts w:ascii="Times New Roman" w:hAnsi="Times New Roman" w:cs="Times New Roman"/>
          <w:sz w:val="26"/>
          <w:szCs w:val="26"/>
        </w:rPr>
        <w:t xml:space="preserve"> значения.</w:t>
      </w:r>
    </w:p>
    <w:p w:rsidR="00684E8D" w:rsidRDefault="00684E8D" w:rsidP="00AE7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47.6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 ведется работа по оформлению охранных обязательств </w:t>
      </w:r>
      <w:r w:rsidR="00AB59F8">
        <w:rPr>
          <w:rFonts w:ascii="Times New Roman" w:hAnsi="Times New Roman" w:cs="Times New Roman"/>
          <w:sz w:val="26"/>
          <w:szCs w:val="26"/>
        </w:rPr>
        <w:t>собственник</w:t>
      </w:r>
      <w:r w:rsidR="00AE7F55">
        <w:rPr>
          <w:rFonts w:ascii="Times New Roman" w:hAnsi="Times New Roman" w:cs="Times New Roman"/>
          <w:sz w:val="26"/>
          <w:szCs w:val="26"/>
        </w:rPr>
        <w:t>ов</w:t>
      </w:r>
      <w:r w:rsidR="00AB59F8">
        <w:rPr>
          <w:rFonts w:ascii="Times New Roman" w:hAnsi="Times New Roman" w:cs="Times New Roman"/>
          <w:sz w:val="26"/>
          <w:szCs w:val="26"/>
        </w:rPr>
        <w:t xml:space="preserve"> или ин</w:t>
      </w:r>
      <w:r w:rsidR="00AE7F55">
        <w:rPr>
          <w:rFonts w:ascii="Times New Roman" w:hAnsi="Times New Roman" w:cs="Times New Roman"/>
          <w:sz w:val="26"/>
          <w:szCs w:val="26"/>
        </w:rPr>
        <w:t>ых</w:t>
      </w:r>
      <w:r w:rsidR="00AB59F8">
        <w:rPr>
          <w:rFonts w:ascii="Times New Roman" w:hAnsi="Times New Roman" w:cs="Times New Roman"/>
          <w:sz w:val="26"/>
          <w:szCs w:val="26"/>
        </w:rPr>
        <w:t xml:space="preserve"> законн</w:t>
      </w:r>
      <w:r w:rsidR="00AE7F55">
        <w:rPr>
          <w:rFonts w:ascii="Times New Roman" w:hAnsi="Times New Roman" w:cs="Times New Roman"/>
          <w:sz w:val="26"/>
          <w:szCs w:val="26"/>
        </w:rPr>
        <w:t>ых</w:t>
      </w:r>
      <w:r w:rsidR="00AB59F8">
        <w:rPr>
          <w:rFonts w:ascii="Times New Roman" w:hAnsi="Times New Roman" w:cs="Times New Roman"/>
          <w:sz w:val="26"/>
          <w:szCs w:val="26"/>
        </w:rPr>
        <w:t xml:space="preserve"> владельц</w:t>
      </w:r>
      <w:r w:rsidR="00AE7F55">
        <w:rPr>
          <w:rFonts w:ascii="Times New Roman" w:hAnsi="Times New Roman" w:cs="Times New Roman"/>
          <w:sz w:val="26"/>
          <w:szCs w:val="26"/>
        </w:rPr>
        <w:t>ев</w:t>
      </w:r>
      <w:r w:rsidR="00AB59F8">
        <w:rPr>
          <w:rFonts w:ascii="Times New Roman" w:hAnsi="Times New Roman" w:cs="Times New Roman"/>
          <w:sz w:val="26"/>
          <w:szCs w:val="26"/>
        </w:rPr>
        <w:t xml:space="preserve"> земельных участков, в границах которых располагаются объекты археологического наследия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B028DE">
        <w:rPr>
          <w:rFonts w:ascii="Times New Roman" w:hAnsi="Times New Roman" w:cs="Times New Roman"/>
          <w:sz w:val="26"/>
          <w:szCs w:val="26"/>
        </w:rPr>
        <w:t xml:space="preserve"> </w:t>
      </w:r>
      <w:r w:rsidR="00AE7F55">
        <w:rPr>
          <w:rFonts w:ascii="Times New Roman" w:hAnsi="Times New Roman" w:cs="Times New Roman"/>
          <w:sz w:val="26"/>
          <w:szCs w:val="26"/>
        </w:rPr>
        <w:t xml:space="preserve">Необходимо отметить, что все </w:t>
      </w:r>
      <w:r w:rsidR="00CE0F75">
        <w:rPr>
          <w:rFonts w:ascii="Times New Roman" w:hAnsi="Times New Roman" w:cs="Times New Roman"/>
          <w:sz w:val="26"/>
          <w:szCs w:val="26"/>
        </w:rPr>
        <w:t xml:space="preserve"> объекты</w:t>
      </w:r>
      <w:r w:rsidR="00AE7F55">
        <w:rPr>
          <w:rFonts w:ascii="Times New Roman" w:hAnsi="Times New Roman" w:cs="Times New Roman"/>
          <w:sz w:val="26"/>
          <w:szCs w:val="26"/>
        </w:rPr>
        <w:t xml:space="preserve"> культурного наследия федерального значения</w:t>
      </w:r>
      <w:r w:rsidR="00FB1834">
        <w:rPr>
          <w:rFonts w:ascii="Times New Roman" w:hAnsi="Times New Roman" w:cs="Times New Roman"/>
          <w:sz w:val="26"/>
          <w:szCs w:val="26"/>
        </w:rPr>
        <w:t>, расположенны</w:t>
      </w:r>
      <w:r w:rsidR="00CE0F75">
        <w:rPr>
          <w:rFonts w:ascii="Times New Roman" w:hAnsi="Times New Roman" w:cs="Times New Roman"/>
          <w:sz w:val="26"/>
          <w:szCs w:val="26"/>
        </w:rPr>
        <w:t>е</w:t>
      </w:r>
      <w:r w:rsidR="00FB1834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</w:t>
      </w:r>
      <w:r w:rsidR="004B786D">
        <w:rPr>
          <w:rFonts w:ascii="Times New Roman" w:hAnsi="Times New Roman" w:cs="Times New Roman"/>
          <w:sz w:val="26"/>
          <w:szCs w:val="26"/>
        </w:rPr>
        <w:t>, являются объектами археологического наследия.</w:t>
      </w:r>
      <w:r w:rsidR="00FB1834">
        <w:rPr>
          <w:rFonts w:ascii="Times New Roman" w:hAnsi="Times New Roman" w:cs="Times New Roman"/>
          <w:sz w:val="26"/>
          <w:szCs w:val="26"/>
        </w:rPr>
        <w:t xml:space="preserve"> </w:t>
      </w:r>
      <w:r w:rsidR="00AE7F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Охранное обязательство направляется </w:t>
      </w:r>
      <w:r w:rsidR="00AE7F55">
        <w:rPr>
          <w:rFonts w:ascii="Times New Roman" w:hAnsi="Times New Roman" w:cs="Times New Roman"/>
          <w:sz w:val="26"/>
          <w:szCs w:val="26"/>
        </w:rPr>
        <w:t>собственникам или иным законным владельцам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а также в орган регистрации прав для регистрации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указанных в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47.1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 ограничений (обременений) прав в Едином государственном реестре недвижимости.</w:t>
      </w:r>
    </w:p>
    <w:p w:rsidR="00684E8D" w:rsidRDefault="0067790A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965FA">
        <w:rPr>
          <w:rFonts w:ascii="Times New Roman" w:hAnsi="Times New Roman" w:cs="Times New Roman"/>
          <w:sz w:val="26"/>
          <w:szCs w:val="26"/>
        </w:rPr>
        <w:t xml:space="preserve">а </w:t>
      </w:r>
      <w:r w:rsidR="00DC6C4E">
        <w:rPr>
          <w:rFonts w:ascii="Times New Roman" w:hAnsi="Times New Roman" w:cs="Times New Roman"/>
          <w:sz w:val="26"/>
          <w:szCs w:val="26"/>
        </w:rPr>
        <w:t>01</w:t>
      </w:r>
      <w:r w:rsidRPr="000A5D80">
        <w:rPr>
          <w:rFonts w:ascii="Times New Roman" w:hAnsi="Times New Roman" w:cs="Times New Roman"/>
          <w:sz w:val="26"/>
          <w:szCs w:val="26"/>
        </w:rPr>
        <w:t>.</w:t>
      </w:r>
      <w:r w:rsidR="00DC6C4E">
        <w:rPr>
          <w:rFonts w:ascii="Times New Roman" w:hAnsi="Times New Roman" w:cs="Times New Roman"/>
          <w:sz w:val="26"/>
          <w:szCs w:val="26"/>
        </w:rPr>
        <w:t>10</w:t>
      </w:r>
      <w:r w:rsidRPr="000A5D80">
        <w:rPr>
          <w:rFonts w:ascii="Times New Roman" w:hAnsi="Times New Roman" w:cs="Times New Roman"/>
          <w:sz w:val="26"/>
          <w:szCs w:val="26"/>
        </w:rPr>
        <w:t>.202</w:t>
      </w:r>
      <w:r w:rsidR="00F70015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0A5D80">
        <w:rPr>
          <w:rFonts w:ascii="Times New Roman" w:hAnsi="Times New Roman" w:cs="Times New Roman"/>
          <w:sz w:val="26"/>
          <w:szCs w:val="26"/>
        </w:rPr>
        <w:t xml:space="preserve"> всего утверждено </w:t>
      </w:r>
      <w:r w:rsidR="00ED44D1">
        <w:rPr>
          <w:rFonts w:ascii="Times New Roman" w:hAnsi="Times New Roman" w:cs="Times New Roman"/>
          <w:sz w:val="26"/>
          <w:szCs w:val="26"/>
        </w:rPr>
        <w:t>441</w:t>
      </w:r>
      <w:r w:rsidR="00684E8D" w:rsidRPr="000A5D80">
        <w:rPr>
          <w:rFonts w:ascii="Times New Roman" w:hAnsi="Times New Roman" w:cs="Times New Roman"/>
          <w:sz w:val="26"/>
          <w:szCs w:val="26"/>
        </w:rPr>
        <w:t xml:space="preserve"> охранн</w:t>
      </w:r>
      <w:r w:rsidR="00ED44D1">
        <w:rPr>
          <w:rFonts w:ascii="Times New Roman" w:hAnsi="Times New Roman" w:cs="Times New Roman"/>
          <w:sz w:val="26"/>
          <w:szCs w:val="26"/>
        </w:rPr>
        <w:t>ое</w:t>
      </w:r>
      <w:r w:rsidR="00684E8D" w:rsidRPr="000A5D80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ED44D1">
        <w:rPr>
          <w:rFonts w:ascii="Times New Roman" w:hAnsi="Times New Roman" w:cs="Times New Roman"/>
          <w:sz w:val="26"/>
          <w:szCs w:val="26"/>
        </w:rPr>
        <w:t>о</w:t>
      </w:r>
      <w:r w:rsidR="00684E8D" w:rsidRPr="000A5D80"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E7028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 статьи 48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№ 73-ФЗ договоры о передаче прав собственности (владения, пользования) </w:t>
      </w:r>
      <w:r w:rsidR="00E15C35">
        <w:rPr>
          <w:rFonts w:ascii="Times New Roman" w:hAnsi="Times New Roman" w:cs="Times New Roman"/>
          <w:sz w:val="26"/>
          <w:szCs w:val="26"/>
        </w:rPr>
        <w:t xml:space="preserve">земельным участком, в границах которого расположен объект археологического наследия, </w:t>
      </w:r>
      <w:r>
        <w:rPr>
          <w:rFonts w:ascii="Times New Roman" w:hAnsi="Times New Roman" w:cs="Times New Roman"/>
          <w:sz w:val="26"/>
          <w:szCs w:val="26"/>
        </w:rPr>
        <w:t>должны включать существенное условие о возникновении у нового правообладателя обязанностей по исполнению охранного обязательства. Копия охранного обязательства должна являться неотъемлемой частью таких договоров.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по оформлению охранных обязательств и направлению их в адрес собственников (иных законных владельцев) </w:t>
      </w:r>
      <w:r w:rsidR="00734F9A">
        <w:rPr>
          <w:rFonts w:ascii="Times New Roman" w:hAnsi="Times New Roman" w:cs="Times New Roman"/>
          <w:sz w:val="26"/>
          <w:szCs w:val="26"/>
        </w:rPr>
        <w:t>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а также в орган регистрации прав, отнесена настоящей программой к профилактическим мероприятиям, так как обеспечивает адресное информирование </w:t>
      </w:r>
      <w:r w:rsidR="006C73F5">
        <w:rPr>
          <w:rFonts w:ascii="Times New Roman" w:hAnsi="Times New Roman" w:cs="Times New Roman"/>
          <w:sz w:val="26"/>
          <w:szCs w:val="26"/>
        </w:rPr>
        <w:t xml:space="preserve">контролируемых </w:t>
      </w:r>
      <w:r w:rsidR="00C67A70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о специальном статусе объектов культурного наследия и установленных в отношении них обязательных требований.</w:t>
      </w:r>
    </w:p>
    <w:p w:rsidR="00684E8D" w:rsidRDefault="00684E8D" w:rsidP="00E6682D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программы ожидается повышение уровня информированности </w:t>
      </w:r>
      <w:r w:rsidR="00C67A70">
        <w:rPr>
          <w:rFonts w:ascii="Times New Roman" w:hAnsi="Times New Roman" w:cs="Times New Roman"/>
          <w:sz w:val="26"/>
          <w:szCs w:val="26"/>
        </w:rPr>
        <w:t>контролируемых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7A70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по вопросам соблюдения обязательных требований, повышение правовой грамотности </w:t>
      </w:r>
      <w:r w:rsidR="00D60A48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>, формирование ответственного отношения к проблемам сохранения объектов культурного наследия,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Характерными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:rsidR="00AE1523" w:rsidRDefault="00EC4339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339">
        <w:rPr>
          <w:rFonts w:ascii="Times New Roman" w:hAnsi="Times New Roman" w:cs="Times New Roman"/>
          <w:bCs/>
          <w:sz w:val="26"/>
          <w:szCs w:val="26"/>
        </w:rPr>
        <w:t>нарушение режима использования земель в границах территории объекта культурного наследия</w:t>
      </w:r>
      <w:r w:rsidR="00AE1523" w:rsidRPr="00EC4339">
        <w:rPr>
          <w:rFonts w:ascii="Times New Roman" w:hAnsi="Times New Roman" w:cs="Times New Roman"/>
          <w:sz w:val="26"/>
          <w:szCs w:val="26"/>
        </w:rPr>
        <w:t>;</w:t>
      </w:r>
    </w:p>
    <w:p w:rsidR="00961E1B" w:rsidRDefault="00961E1B" w:rsidP="00961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F5D67">
        <w:rPr>
          <w:rFonts w:ascii="Times New Roman" w:hAnsi="Times New Roman" w:cs="Times New Roman"/>
          <w:sz w:val="26"/>
          <w:szCs w:val="26"/>
        </w:rPr>
        <w:t>существляется проведение земляных, строительных, мелиоративных, хозяйственных работ и иных работ на территории объектов культурного наследия</w:t>
      </w:r>
      <w:r>
        <w:rPr>
          <w:rFonts w:ascii="Times New Roman" w:hAnsi="Times New Roman" w:cs="Times New Roman"/>
          <w:sz w:val="26"/>
          <w:szCs w:val="26"/>
        </w:rPr>
        <w:t xml:space="preserve"> в отсутствие государственной историко-культурной экспертизы, проведенной до начала работ;</w:t>
      </w:r>
    </w:p>
    <w:p w:rsidR="005E0775" w:rsidRPr="00EC4339" w:rsidRDefault="00961E1B" w:rsidP="00961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DF5D67">
        <w:rPr>
          <w:rFonts w:ascii="Times New Roman" w:hAnsi="Times New Roman" w:cs="Times New Roman"/>
          <w:sz w:val="26"/>
          <w:szCs w:val="26"/>
        </w:rPr>
        <w:t>троительные и иные работы на земельном участке, непосредственно связанном с земельным участком в границах территории объекта культурного наследия, проводятся в отсутствие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</w:t>
      </w:r>
      <w:proofErr w:type="gramEnd"/>
      <w:r w:rsidRPr="00DF5D67">
        <w:rPr>
          <w:rFonts w:ascii="Times New Roman" w:hAnsi="Times New Roman" w:cs="Times New Roman"/>
          <w:sz w:val="26"/>
          <w:szCs w:val="26"/>
        </w:rPr>
        <w:t xml:space="preserve"> указанный объект культурного наследия, согласованных с региональным органом охраны объектов культурного наследия.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Анализ причин нарушений обязательных требований, условий, способствующих нарушениям обязательных требований, показывает следующее: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60A48">
        <w:rPr>
          <w:rFonts w:ascii="Times New Roman" w:hAnsi="Times New Roman" w:cs="Times New Roman"/>
          <w:sz w:val="26"/>
          <w:szCs w:val="26"/>
        </w:rPr>
        <w:t xml:space="preserve">контролируемые лица </w:t>
      </w:r>
      <w:r>
        <w:rPr>
          <w:rFonts w:ascii="Times New Roman" w:hAnsi="Times New Roman" w:cs="Times New Roman"/>
          <w:sz w:val="26"/>
          <w:szCs w:val="26"/>
        </w:rPr>
        <w:t>не знают и (или) неверно понимают требования законодательства в области охраны объектов культурного наследия;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60A48">
        <w:rPr>
          <w:rFonts w:ascii="Times New Roman" w:hAnsi="Times New Roman" w:cs="Times New Roman"/>
          <w:sz w:val="26"/>
          <w:szCs w:val="26"/>
        </w:rPr>
        <w:t xml:space="preserve">контролируемые лица </w:t>
      </w:r>
      <w:r>
        <w:rPr>
          <w:rFonts w:ascii="Times New Roman" w:hAnsi="Times New Roman" w:cs="Times New Roman"/>
          <w:sz w:val="26"/>
          <w:szCs w:val="26"/>
        </w:rPr>
        <w:t>не знают и (или) неверно понимают ограничения (обременения) права, установленные Федеральным законом от 25.06.2002 № 73-ФЗ.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C6DF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собенности законодательства формируют причины постоянного сохранения нарушений обязательных требований.</w:t>
      </w:r>
    </w:p>
    <w:p w:rsidR="00A306C8" w:rsidRPr="00785B2C" w:rsidRDefault="00A306C8" w:rsidP="00A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1.7. </w:t>
      </w:r>
      <w:r w:rsidRPr="00785B2C">
        <w:rPr>
          <w:rFonts w:ascii="Times New Roman" w:hAnsi="Times New Roman" w:cs="Times New Roman"/>
          <w:sz w:val="26"/>
          <w:szCs w:val="26"/>
        </w:rPr>
        <w:t xml:space="preserve">На официальном портале исполнительных органов государственной власти Республики Хакасия в сети «Интернет» </w:t>
      </w:r>
      <w:r w:rsidRPr="00F965FA">
        <w:rPr>
          <w:rFonts w:ascii="Times New Roman" w:hAnsi="Times New Roman" w:cs="Times New Roman"/>
          <w:sz w:val="26"/>
          <w:szCs w:val="26"/>
        </w:rPr>
        <w:t>(https://r-19.ru/authorities/protection-of-cultural-heritage/common/6496/)</w:t>
      </w:r>
      <w:r w:rsidRPr="00785B2C">
        <w:rPr>
          <w:rFonts w:ascii="Times New Roman" w:hAnsi="Times New Roman" w:cs="Times New Roman"/>
          <w:sz w:val="26"/>
          <w:szCs w:val="26"/>
        </w:rPr>
        <w:t xml:space="preserve"> размещены и поддерживаются в актуальном состоянии: </w:t>
      </w:r>
    </w:p>
    <w:p w:rsidR="00A306C8" w:rsidRPr="00785B2C" w:rsidRDefault="00A306C8" w:rsidP="00A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тексты нормативных правовых актов, регулирующих осуществление государственного контроля (надзора</w:t>
      </w:r>
      <w:r w:rsidR="00785B2C">
        <w:rPr>
          <w:rFonts w:ascii="Times New Roman" w:hAnsi="Times New Roman" w:cs="Times New Roman"/>
          <w:sz w:val="26"/>
          <w:szCs w:val="26"/>
        </w:rPr>
        <w:t>)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A306C8" w:rsidRPr="00785B2C" w:rsidRDefault="00A306C8" w:rsidP="00A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сведения об изменениях, внесенных в нормативные правовые акты, регулирующие осуществление госу</w:t>
      </w:r>
      <w:r w:rsidR="004B4A5A">
        <w:rPr>
          <w:rFonts w:ascii="Times New Roman" w:hAnsi="Times New Roman" w:cs="Times New Roman"/>
          <w:sz w:val="26"/>
          <w:szCs w:val="26"/>
        </w:rPr>
        <w:t>дарственного контроля (надзора)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A306C8" w:rsidRPr="00785B2C" w:rsidRDefault="00A306C8" w:rsidP="00A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руководств</w:t>
      </w:r>
      <w:r w:rsidR="00751A7B">
        <w:rPr>
          <w:rFonts w:ascii="Times New Roman" w:hAnsi="Times New Roman" w:cs="Times New Roman"/>
          <w:sz w:val="26"/>
          <w:szCs w:val="26"/>
        </w:rPr>
        <w:t>о</w:t>
      </w:r>
      <w:r w:rsidRPr="00785B2C">
        <w:rPr>
          <w:rFonts w:ascii="Times New Roman" w:hAnsi="Times New Roman" w:cs="Times New Roman"/>
          <w:sz w:val="26"/>
          <w:szCs w:val="26"/>
        </w:rPr>
        <w:t xml:space="preserve"> по соблюдению обязательных требований;</w:t>
      </w:r>
    </w:p>
    <w:p w:rsidR="00A306C8" w:rsidRDefault="00A306C8" w:rsidP="00A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 w:rsidR="004B4A5A">
        <w:rPr>
          <w:rFonts w:ascii="Times New Roman" w:hAnsi="Times New Roman" w:cs="Times New Roman"/>
          <w:sz w:val="26"/>
          <w:szCs w:val="26"/>
        </w:rPr>
        <w:t>нарушения обязательных требований</w:t>
      </w:r>
      <w:r w:rsidRPr="00785B2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F386E" w:rsidRPr="00785B2C" w:rsidRDefault="008F386E" w:rsidP="00A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обязательных требований;</w:t>
      </w:r>
    </w:p>
    <w:p w:rsidR="00A306C8" w:rsidRDefault="00A306C8" w:rsidP="00A30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785B2C" w:rsidRPr="007D4FCB" w:rsidRDefault="00785B2C" w:rsidP="00A30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F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 об итогах программы проведения </w:t>
      </w:r>
      <w:r w:rsidR="000A5D80" w:rsidRPr="007D4FCB">
        <w:rPr>
          <w:rFonts w:ascii="Times New Roman" w:hAnsi="Times New Roman" w:cs="Times New Roman"/>
          <w:sz w:val="26"/>
          <w:szCs w:val="26"/>
          <w:shd w:val="clear" w:color="auto" w:fill="FFFFFF"/>
        </w:rPr>
        <w:t>Госохранинспекцией в</w:t>
      </w:r>
      <w:r w:rsidRPr="007D4FCB">
        <w:rPr>
          <w:rFonts w:ascii="Times New Roman" w:hAnsi="Times New Roman" w:cs="Times New Roman"/>
          <w:sz w:val="26"/>
          <w:szCs w:val="26"/>
          <w:shd w:val="clear" w:color="auto" w:fill="FFFFFF"/>
        </w:rPr>
        <w:t> области профилактики нарушений обязательных требований в сфере охраны объектов культурного наследия; </w:t>
      </w:r>
    </w:p>
    <w:p w:rsidR="00A306C8" w:rsidRPr="00785B2C" w:rsidRDefault="00A306C8" w:rsidP="00A30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 xml:space="preserve">проведение консультаций по вопросам </w:t>
      </w:r>
      <w:r w:rsidR="00785B2C">
        <w:rPr>
          <w:rFonts w:ascii="Times New Roman" w:hAnsi="Times New Roman" w:cs="Times New Roman"/>
          <w:sz w:val="26"/>
          <w:szCs w:val="26"/>
        </w:rPr>
        <w:t>соблюдения обязательны</w:t>
      </w:r>
      <w:r w:rsidR="004B4A5A">
        <w:rPr>
          <w:rFonts w:ascii="Times New Roman" w:hAnsi="Times New Roman" w:cs="Times New Roman"/>
          <w:sz w:val="26"/>
          <w:szCs w:val="26"/>
        </w:rPr>
        <w:t>х</w:t>
      </w:r>
      <w:r w:rsidR="00785B2C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A306C8" w:rsidRDefault="00A306C8" w:rsidP="00EF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направление предостережений о недопустимости нарушения обязательных требований.</w:t>
      </w:r>
    </w:p>
    <w:p w:rsidR="00684E8D" w:rsidRDefault="005F1165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684E8D">
        <w:rPr>
          <w:rFonts w:ascii="Times New Roman" w:hAnsi="Times New Roman" w:cs="Times New Roman"/>
          <w:sz w:val="26"/>
          <w:szCs w:val="26"/>
        </w:rPr>
        <w:t>Федеральным законом от 25.06.2002 № 73-ФЗ не установлена обязанность по извещению органа охраны о государственной регистрации права на земельный участок в границах территории объекта культурного наследия.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указанных обстоятельств</w:t>
      </w:r>
      <w:r w:rsidR="005F11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государственного </w:t>
      </w:r>
      <w:r w:rsidR="00E66754">
        <w:rPr>
          <w:rFonts w:ascii="Times New Roman" w:hAnsi="Times New Roman" w:cs="Times New Roman"/>
          <w:sz w:val="26"/>
          <w:szCs w:val="26"/>
        </w:rPr>
        <w:t>контроля (</w:t>
      </w:r>
      <w:r>
        <w:rPr>
          <w:rFonts w:ascii="Times New Roman" w:hAnsi="Times New Roman" w:cs="Times New Roman"/>
          <w:sz w:val="26"/>
          <w:szCs w:val="26"/>
        </w:rPr>
        <w:t>надзора</w:t>
      </w:r>
      <w:r w:rsidR="00E6675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представляется возможным определить точный перечень </w:t>
      </w:r>
      <w:r w:rsidR="00354E3F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 xml:space="preserve"> и вести их учет в режиме реального времени.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обстоятельства также затрудняют эффективность профилактической работы и информирования </w:t>
      </w:r>
      <w:r w:rsidR="00354E3F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В рамках организованной Госохранинспекцией профилактической работы, </w:t>
      </w:r>
      <w:r w:rsidR="00245F55">
        <w:rPr>
          <w:rFonts w:ascii="Times New Roman" w:hAnsi="Times New Roman" w:cs="Times New Roman"/>
          <w:sz w:val="26"/>
          <w:szCs w:val="26"/>
        </w:rPr>
        <w:t>систематически проводится</w:t>
      </w:r>
      <w:r w:rsidR="007D4FCB">
        <w:rPr>
          <w:rFonts w:ascii="Times New Roman" w:hAnsi="Times New Roman" w:cs="Times New Roman"/>
          <w:sz w:val="26"/>
          <w:szCs w:val="26"/>
        </w:rPr>
        <w:t xml:space="preserve"> консультировани</w:t>
      </w:r>
      <w:r w:rsidR="00245F5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касающихся объектов культурного наследия, по телефону, по средствам электронной почты, также в целях недопущения нарушения обязательных требований проводится рассылка информации лицам, осуществляющим хозяйственную деятельность, в результате которой возможно нарушение действующего законодательства в сфере охраны объектов культурного наследия.</w:t>
      </w:r>
    </w:p>
    <w:p w:rsidR="00684E8D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Раздел 2. Цели и задачи реализации Программы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66754">
        <w:rPr>
          <w:sz w:val="26"/>
          <w:szCs w:val="26"/>
        </w:rPr>
        <w:t>2.1. Профилактическая работа в Госохранинспекции представляет собой комплекс мер организационного, информационного, правового и иного характера, направленных на достижение следующих основных целей: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редотвращение причинения вреда либо угрозы причинения вреда объектам культурного наследия вследствие нарушений обязательных требований в области охраны объектов культурного наследия (далее – обязательные требования) (снижение количества случаев причинения </w:t>
      </w:r>
      <w:r w:rsidR="000A5D80">
        <w:rPr>
          <w:rFonts w:ascii="Times New Roman" w:hAnsi="Times New Roman" w:cs="Times New Roman"/>
          <w:sz w:val="26"/>
          <w:szCs w:val="26"/>
        </w:rPr>
        <w:t>вреда,</w:t>
      </w:r>
      <w:r>
        <w:rPr>
          <w:rFonts w:ascii="Times New Roman" w:hAnsi="Times New Roman" w:cs="Times New Roman"/>
          <w:sz w:val="26"/>
          <w:szCs w:val="26"/>
        </w:rPr>
        <w:t xml:space="preserve"> либо угрозы причинения вреда объектам культурного наследия, выявленным</w:t>
      </w:r>
      <w:r w:rsidR="00FC6DF5">
        <w:rPr>
          <w:rFonts w:ascii="Times New Roman" w:hAnsi="Times New Roman" w:cs="Times New Roman"/>
          <w:sz w:val="26"/>
          <w:szCs w:val="26"/>
        </w:rPr>
        <w:t xml:space="preserve"> объектам культурного наследия);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редупреждение нарушений подконтрольными субъектами обязательных требований (снижение количества случаев нарушений обязательных требований).</w:t>
      </w:r>
    </w:p>
    <w:p w:rsidR="00684E8D" w:rsidRPr="00E66754" w:rsidRDefault="00C459C0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4E8D" w:rsidRPr="00E66754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ф</w:t>
      </w:r>
      <w:r w:rsidR="00684E8D" w:rsidRPr="00E66754">
        <w:rPr>
          <w:rFonts w:ascii="Times New Roman" w:hAnsi="Times New Roman" w:cs="Times New Roman"/>
          <w:sz w:val="26"/>
          <w:szCs w:val="26"/>
        </w:rPr>
        <w:t>ормирование моделей социально ответственного, добросовестного, правового поведения подконтрольных субъектов.</w:t>
      </w:r>
    </w:p>
    <w:p w:rsidR="00684E8D" w:rsidRPr="00E66754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lastRenderedPageBreak/>
        <w:t xml:space="preserve"> 2.2. Для достижения поставленных целей настоящей программы необходимо решение следующих задач: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6DF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причин, факторов и условий, способствующих причинению вреда объектам культурного наследия и нарушению обязательных требований, определение способов устранения или с</w:t>
      </w:r>
      <w:r w:rsidR="00FC6DF5">
        <w:rPr>
          <w:rFonts w:ascii="Times New Roman" w:hAnsi="Times New Roman" w:cs="Times New Roman"/>
          <w:sz w:val="26"/>
          <w:szCs w:val="26"/>
        </w:rPr>
        <w:t>нижения рисков их возникновения;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6DF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странение причин, факторов и условий, способствующих причинению вреда либо угрозе причинения вреда объектам культурного наследия и на</w:t>
      </w:r>
      <w:r w:rsidR="00FC6DF5">
        <w:rPr>
          <w:rFonts w:ascii="Times New Roman" w:hAnsi="Times New Roman" w:cs="Times New Roman"/>
          <w:sz w:val="26"/>
          <w:szCs w:val="26"/>
        </w:rPr>
        <w:t>рушению обязательных требований;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C6DF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становление и оценка зависимости видов, форм и интенсивности профилактических мероприятий от особенностей конкретных подк</w:t>
      </w:r>
      <w:r w:rsidR="00FC6DF5">
        <w:rPr>
          <w:rFonts w:ascii="Times New Roman" w:hAnsi="Times New Roman" w:cs="Times New Roman"/>
          <w:sz w:val="26"/>
          <w:szCs w:val="26"/>
        </w:rPr>
        <w:t>онтрольных субъектов (объектов);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роведен</w:t>
      </w:r>
      <w:r w:rsidR="00FC6DF5">
        <w:rPr>
          <w:rFonts w:ascii="Times New Roman" w:hAnsi="Times New Roman" w:cs="Times New Roman"/>
          <w:sz w:val="26"/>
          <w:szCs w:val="26"/>
        </w:rPr>
        <w:t>ие профилактических мероприятий;</w:t>
      </w:r>
    </w:p>
    <w:p w:rsidR="00684E8D" w:rsidRDefault="00E66754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84E8D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 w:rsidR="00684E8D">
        <w:rPr>
          <w:rFonts w:ascii="Times New Roman" w:hAnsi="Times New Roman" w:cs="Times New Roman"/>
          <w:sz w:val="26"/>
          <w:szCs w:val="26"/>
        </w:rPr>
        <w:t>овышение квалификации кадрового соста</w:t>
      </w:r>
      <w:r w:rsidR="00FC6DF5">
        <w:rPr>
          <w:rFonts w:ascii="Times New Roman" w:hAnsi="Times New Roman" w:cs="Times New Roman"/>
          <w:sz w:val="26"/>
          <w:szCs w:val="26"/>
        </w:rPr>
        <w:t>ва контрольно-надзорного органа;</w:t>
      </w:r>
    </w:p>
    <w:p w:rsidR="00684E8D" w:rsidRDefault="00E66754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84E8D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с</w:t>
      </w:r>
      <w:r w:rsidR="00684E8D">
        <w:rPr>
          <w:rFonts w:ascii="Times New Roman" w:hAnsi="Times New Roman" w:cs="Times New Roman"/>
          <w:sz w:val="26"/>
          <w:szCs w:val="26"/>
        </w:rPr>
        <w:t>оздание системы консультирования подконтрольных субъектов, в том числе с использованием современных информационно-</w:t>
      </w:r>
      <w:r w:rsidR="00DC15BB">
        <w:rPr>
          <w:rFonts w:ascii="Times New Roman" w:hAnsi="Times New Roman" w:cs="Times New Roman"/>
          <w:sz w:val="26"/>
          <w:szCs w:val="26"/>
        </w:rPr>
        <w:t>телекоммуникационных технологий;</w:t>
      </w:r>
    </w:p>
    <w:p w:rsidR="00DC15BB" w:rsidRDefault="00DC15BB" w:rsidP="00DC15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</w:t>
      </w:r>
      <w:r w:rsidRPr="00DD5E32">
        <w:rPr>
          <w:rFonts w:ascii="Times New Roman" w:hAnsi="Times New Roman" w:cs="Times New Roman"/>
          <w:sz w:val="26"/>
          <w:szCs w:val="26"/>
        </w:rPr>
        <w:t>пределение перечня видов и сбор статистических данных, необходимых для организации профилактической работы.</w:t>
      </w:r>
    </w:p>
    <w:p w:rsidR="00684E8D" w:rsidRDefault="00684E8D" w:rsidP="00892EDA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 xml:space="preserve">Раздел 3. Перечень профилактических мероприятий, сроки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>(периодичность) их проведения</w:t>
      </w:r>
    </w:p>
    <w:p w:rsidR="00684E8D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4223"/>
        <w:gridCol w:w="2552"/>
        <w:gridCol w:w="2130"/>
      </w:tblGrid>
      <w:tr w:rsidR="00684E8D" w:rsidTr="00684E8D">
        <w:trPr>
          <w:trHeight w:val="77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684E8D" w:rsidTr="00684E8D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84E8D" w:rsidTr="00684E8D">
        <w:trPr>
          <w:trHeight w:val="19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 w:rsidP="00C42890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15 дней с момента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надзора,</w:t>
            </w:r>
          </w:p>
          <w:p w:rsidR="00684E8D" w:rsidRDefault="00684E8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государственной охраны объектов культурного наследия</w:t>
            </w:r>
          </w:p>
        </w:tc>
      </w:tr>
      <w:tr w:rsidR="00684E8D" w:rsidTr="00684E8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 w:rsidP="00C42890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февраля 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684E8D" w:rsidTr="00684E8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не позднее 10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684E8D" w:rsidTr="00684E8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Консультирование: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по телефону;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личном приеме;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наличие и (или) содержание обязательных требований;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периодичность и порядок проведения контрольных (надзорных) мероприятий;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порядок выполнения обязательных требований;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порядок выполнения предписания, выданного по итогам контрольного </w:t>
            </w:r>
            <w:r w:rsidR="000806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(надзорного)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вопросу, предусмотренному подпунктом 4 осуществляется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письменное консультирование.</w:t>
            </w:r>
          </w:p>
          <w:p w:rsidR="00684E8D" w:rsidRDefault="00684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однотипным обращениям (5 и болеет раз) контролируемых лиц и их представителей осуществляется посредством размещения 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портале исполнительных органов государственной власти Республики Хакасия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«Интернет» письменного разъяснения, подписанного руководителем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(надзорного) 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>органа.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ежедневно, кроме выходных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праздничных дней с 09:00 до 18:00, перерыв с 13-00 до 14-00.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надзора,</w:t>
            </w:r>
          </w:p>
          <w:p w:rsidR="00684E8D" w:rsidRDefault="00684E8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государственной охраны объектов культурного наследия</w:t>
            </w:r>
          </w:p>
        </w:tc>
      </w:tr>
    </w:tbl>
    <w:p w:rsidR="00684E8D" w:rsidRDefault="00684E8D" w:rsidP="00684E8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 xml:space="preserve">Раздел 4. Показатели результативности и эффективности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>Программы профилактики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684E8D" w:rsidRPr="00E66754" w:rsidRDefault="00F55B17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684E8D" w:rsidRPr="00E66754">
        <w:rPr>
          <w:rFonts w:ascii="Times New Roman" w:hAnsi="Times New Roman" w:cs="Times New Roman"/>
          <w:sz w:val="26"/>
          <w:szCs w:val="26"/>
        </w:rPr>
        <w:t>Основными критериями оценки эффективности и результативности профилактических мероприятий являются: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 знание и понимание обязательных требований контролируемым лицам;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 взаимодействие контролируемых лиц с Госохранинспекцией</w:t>
      </w:r>
      <w:r w:rsidR="00C1378C">
        <w:rPr>
          <w:rFonts w:ascii="Times New Roman" w:hAnsi="Times New Roman" w:cs="Times New Roman"/>
          <w:sz w:val="26"/>
          <w:szCs w:val="26"/>
        </w:rPr>
        <w:t xml:space="preserve"> в установленных действующим законодательством случаях</w:t>
      </w:r>
      <w:r w:rsidRPr="00E66754">
        <w:rPr>
          <w:rFonts w:ascii="Times New Roman" w:hAnsi="Times New Roman" w:cs="Times New Roman"/>
          <w:sz w:val="26"/>
          <w:szCs w:val="26"/>
        </w:rPr>
        <w:t>, в том числе в рамках проводимых профилактических мероприятий.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Pr="00E66754">
        <w:rPr>
          <w:rFonts w:ascii="Times New Roman" w:hAnsi="Times New Roman" w:cs="Times New Roman"/>
          <w:sz w:val="26"/>
          <w:szCs w:val="26"/>
        </w:rPr>
        <w:t>анализа выполнения мероприятий Программы профилактики</w:t>
      </w:r>
      <w:proofErr w:type="gramEnd"/>
      <w:r w:rsidRPr="00E66754">
        <w:rPr>
          <w:rFonts w:ascii="Times New Roman" w:hAnsi="Times New Roman" w:cs="Times New Roman"/>
          <w:sz w:val="26"/>
          <w:szCs w:val="26"/>
        </w:rPr>
        <w:t xml:space="preserve"> по следующим индикативным показателям: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Показатели </w:t>
      </w: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эффективности и результативности профилактических мероприятий </w:t>
      </w:r>
    </w:p>
    <w:p w:rsidR="00684E8D" w:rsidRPr="00E66754" w:rsidRDefault="005B1E5F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A26D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4E8D" w:rsidRPr="00E66754">
        <w:rPr>
          <w:rFonts w:ascii="Times New Roman" w:hAnsi="Times New Roman" w:cs="Times New Roman"/>
          <w:sz w:val="26"/>
          <w:szCs w:val="26"/>
        </w:rPr>
        <w:t>году</w:t>
      </w: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576"/>
        <w:gridCol w:w="1984"/>
      </w:tblGrid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84E8D" w:rsidTr="00684E8D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Pr="00C1378C" w:rsidRDefault="00F21F6A" w:rsidP="00E6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354E3F"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Pr="00C1378C" w:rsidRDefault="00684E8D" w:rsidP="00C1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354E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 w:rsidR="00C1378C" w:rsidRPr="00354E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54E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684E8D" w:rsidTr="00684E8D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F21F6A" w:rsidP="0058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п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олнота информации, размещенной на Официальном портале исполнительных органов государственной власти Республики Хакасия </w:t>
            </w:r>
            <w:r w:rsidR="00684E8D"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>в сети «Интернет»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584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 w:rsidP="0035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r w:rsidR="00DC15BB">
              <w:rPr>
                <w:rFonts w:ascii="Times New Roman" w:hAnsi="Times New Roman" w:cs="Times New Roman"/>
                <w:sz w:val="24"/>
                <w:szCs w:val="24"/>
              </w:rPr>
              <w:t>Госохранинспекции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</w:t>
            </w:r>
          </w:p>
        </w:tc>
      </w:tr>
    </w:tbl>
    <w:p w:rsidR="00684E8D" w:rsidRDefault="00684E8D" w:rsidP="00684E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F6A" w:rsidRPr="00E66754" w:rsidRDefault="00F55B17" w:rsidP="00F2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F21F6A" w:rsidRPr="00E66754">
        <w:rPr>
          <w:rFonts w:ascii="Times New Roman" w:hAnsi="Times New Roman" w:cs="Times New Roman"/>
          <w:sz w:val="26"/>
          <w:szCs w:val="26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Госохранинспекцией.</w:t>
      </w:r>
    </w:p>
    <w:p w:rsidR="00684E8D" w:rsidRDefault="00684E8D" w:rsidP="00684E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  <w:highlight w:val="green"/>
        </w:rPr>
      </w:pPr>
    </w:p>
    <w:p w:rsidR="00684E8D" w:rsidRDefault="00684E8D" w:rsidP="00684E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  <w:highlight w:val="green"/>
        </w:rPr>
      </w:pPr>
    </w:p>
    <w:p w:rsidR="00EF2BD6" w:rsidRDefault="00EF2BD6"/>
    <w:sectPr w:rsidR="00EF2BD6" w:rsidSect="00892EDA">
      <w:headerReference w:type="default" r:id="rId13"/>
      <w:headerReference w:type="firs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80" w:rsidRDefault="00E70280" w:rsidP="00892EDA">
      <w:pPr>
        <w:spacing w:after="0" w:line="240" w:lineRule="auto"/>
      </w:pPr>
      <w:r>
        <w:separator/>
      </w:r>
    </w:p>
  </w:endnote>
  <w:endnote w:type="continuationSeparator" w:id="1">
    <w:p w:rsidR="00E70280" w:rsidRDefault="00E70280" w:rsidP="0089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80" w:rsidRDefault="00E70280" w:rsidP="00892EDA">
      <w:pPr>
        <w:spacing w:after="0" w:line="240" w:lineRule="auto"/>
      </w:pPr>
      <w:r>
        <w:separator/>
      </w:r>
    </w:p>
  </w:footnote>
  <w:footnote w:type="continuationSeparator" w:id="1">
    <w:p w:rsidR="00E70280" w:rsidRDefault="00E70280" w:rsidP="0089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6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0280" w:rsidRPr="00892EDA" w:rsidRDefault="00E40A33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92E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70280" w:rsidRPr="00892ED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92E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667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92E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0280" w:rsidRDefault="00E7028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9" w:rsidRDefault="00816679" w:rsidP="00816679">
    <w:pPr>
      <w:pStyle w:val="ac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ПРОЕКТ</w:t>
    </w:r>
  </w:p>
  <w:p w:rsidR="00816679" w:rsidRDefault="0081667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3"/>
        </w:tabs>
        <w:ind w:left="57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7"/>
        </w:tabs>
        <w:ind w:left="71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1"/>
        </w:tabs>
        <w:ind w:left="86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5"/>
        </w:tabs>
        <w:ind w:left="100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49"/>
        </w:tabs>
        <w:ind w:left="114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3"/>
        </w:tabs>
        <w:ind w:left="129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7"/>
        </w:tabs>
        <w:ind w:left="143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1"/>
        </w:tabs>
        <w:ind w:left="158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5"/>
        </w:tabs>
        <w:ind w:left="1725" w:hanging="1584"/>
      </w:pPr>
    </w:lvl>
  </w:abstractNum>
  <w:abstractNum w:abstractNumId="1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7775"/>
    <w:multiLevelType w:val="multilevel"/>
    <w:tmpl w:val="37623A34"/>
    <w:lvl w:ilvl="0">
      <w:start w:val="1"/>
      <w:numFmt w:val="decimal"/>
      <w:lvlText w:val="%1."/>
      <w:lvlJc w:val="left"/>
      <w:pPr>
        <w:ind w:left="408" w:hanging="408"/>
      </w:pPr>
      <w:rPr>
        <w:rFonts w:asciiTheme="minorHAnsi" w:eastAsia="Calibr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asciiTheme="minorHAnsi" w:eastAsia="Calibr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asciiTheme="minorHAnsi" w:eastAsia="Calibr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asciiTheme="minorHAnsi" w:eastAsia="Calibr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asciiTheme="minorHAnsi" w:eastAsia="Calibr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asciiTheme="minorHAnsi" w:eastAsia="Calibr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asciiTheme="minorHAnsi" w:eastAsia="Calibr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asciiTheme="minorHAnsi" w:eastAsia="Calibr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asciiTheme="minorHAnsi" w:eastAsia="Calibri" w:hAnsiTheme="minorHAnsi" w:cstheme="minorBidi" w:hint="default"/>
      </w:rPr>
    </w:lvl>
  </w:abstractNum>
  <w:abstractNum w:abstractNumId="3">
    <w:nsid w:val="3618700D"/>
    <w:multiLevelType w:val="multilevel"/>
    <w:tmpl w:val="FEF81A82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0C21F09"/>
    <w:multiLevelType w:val="multilevel"/>
    <w:tmpl w:val="971EF0BE"/>
    <w:lvl w:ilvl="0">
      <w:start w:val="1"/>
      <w:numFmt w:val="decimal"/>
      <w:lvlText w:val="%1."/>
      <w:lvlJc w:val="left"/>
      <w:pPr>
        <w:ind w:left="396" w:hanging="396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/>
      </w:rPr>
    </w:lvl>
  </w:abstractNum>
  <w:abstractNum w:abstractNumId="5">
    <w:nsid w:val="732F1ECD"/>
    <w:multiLevelType w:val="multilevel"/>
    <w:tmpl w:val="A3CC31C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73F142DF"/>
    <w:multiLevelType w:val="multilevel"/>
    <w:tmpl w:val="532045EE"/>
    <w:lvl w:ilvl="0">
      <w:start w:val="1"/>
      <w:numFmt w:val="decimal"/>
      <w:lvlText w:val="%1."/>
      <w:lvlJc w:val="left"/>
      <w:pPr>
        <w:ind w:left="408" w:hanging="408"/>
      </w:pPr>
      <w:rPr>
        <w:rFonts w:asciiTheme="minorHAnsi" w:eastAsia="Calibri" w:hAnsiTheme="minorHAnsi" w:cstheme="minorBidi" w:hint="default"/>
        <w:sz w:val="26"/>
      </w:rPr>
    </w:lvl>
    <w:lvl w:ilvl="1">
      <w:start w:val="1"/>
      <w:numFmt w:val="decimal"/>
      <w:lvlText w:val="%1.%2."/>
      <w:lvlJc w:val="left"/>
      <w:pPr>
        <w:ind w:left="1117" w:hanging="408"/>
      </w:pPr>
      <w:rPr>
        <w:rFonts w:asciiTheme="minorHAnsi" w:eastAsia="Calibri" w:hAnsiTheme="minorHAnsi" w:cstheme="minorBidi"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="Calibri" w:hAnsiTheme="minorHAnsi" w:cstheme="minorBidi"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eastAsia="Calibri" w:hAnsiTheme="minorHAnsi" w:cstheme="minorBidi"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="Calibri" w:hAnsiTheme="minorHAnsi" w:cstheme="minorBidi"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eastAsia="Calibri" w:hAnsiTheme="minorHAnsi" w:cstheme="minorBidi"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="Calibri" w:hAnsiTheme="minorHAnsi" w:cstheme="minorBid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eastAsia="Calibri" w:hAnsiTheme="minorHAnsi" w:cstheme="minorBid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="Calibri" w:hAnsiTheme="minorHAnsi" w:cstheme="minorBidi" w:hint="default"/>
        <w:sz w:val="26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E8D"/>
    <w:rsid w:val="00040972"/>
    <w:rsid w:val="0006272E"/>
    <w:rsid w:val="00080696"/>
    <w:rsid w:val="000870FA"/>
    <w:rsid w:val="000A5D80"/>
    <w:rsid w:val="00100110"/>
    <w:rsid w:val="00133BAE"/>
    <w:rsid w:val="00143C05"/>
    <w:rsid w:val="0016757B"/>
    <w:rsid w:val="001E5691"/>
    <w:rsid w:val="001F55DC"/>
    <w:rsid w:val="00243B7A"/>
    <w:rsid w:val="00245F55"/>
    <w:rsid w:val="00246114"/>
    <w:rsid w:val="00263AD6"/>
    <w:rsid w:val="002A56C0"/>
    <w:rsid w:val="002E6A0D"/>
    <w:rsid w:val="00354E3F"/>
    <w:rsid w:val="003E182F"/>
    <w:rsid w:val="00442D35"/>
    <w:rsid w:val="00446E90"/>
    <w:rsid w:val="004B4A5A"/>
    <w:rsid w:val="004B786D"/>
    <w:rsid w:val="004D22B0"/>
    <w:rsid w:val="00514FAD"/>
    <w:rsid w:val="005651EF"/>
    <w:rsid w:val="00584F7D"/>
    <w:rsid w:val="005B1E5F"/>
    <w:rsid w:val="005B6A0E"/>
    <w:rsid w:val="005D28DB"/>
    <w:rsid w:val="005E0775"/>
    <w:rsid w:val="005F1165"/>
    <w:rsid w:val="005F7921"/>
    <w:rsid w:val="0067790A"/>
    <w:rsid w:val="00684E8D"/>
    <w:rsid w:val="006C73F5"/>
    <w:rsid w:val="006E00A9"/>
    <w:rsid w:val="00734F9A"/>
    <w:rsid w:val="00751A7B"/>
    <w:rsid w:val="00785B2C"/>
    <w:rsid w:val="007D4FCB"/>
    <w:rsid w:val="007F6DA7"/>
    <w:rsid w:val="00816679"/>
    <w:rsid w:val="00832174"/>
    <w:rsid w:val="008876CA"/>
    <w:rsid w:val="00892EDA"/>
    <w:rsid w:val="00897A9A"/>
    <w:rsid w:val="008E4C45"/>
    <w:rsid w:val="008F386E"/>
    <w:rsid w:val="00943E5A"/>
    <w:rsid w:val="00961E1B"/>
    <w:rsid w:val="00A2680E"/>
    <w:rsid w:val="00A26DE1"/>
    <w:rsid w:val="00A306C8"/>
    <w:rsid w:val="00A422DD"/>
    <w:rsid w:val="00AB59F8"/>
    <w:rsid w:val="00AE1523"/>
    <w:rsid w:val="00AE7F55"/>
    <w:rsid w:val="00B028DE"/>
    <w:rsid w:val="00B22EC3"/>
    <w:rsid w:val="00BA4F2A"/>
    <w:rsid w:val="00BF7B14"/>
    <w:rsid w:val="00C06D81"/>
    <w:rsid w:val="00C1378C"/>
    <w:rsid w:val="00C25D5C"/>
    <w:rsid w:val="00C42890"/>
    <w:rsid w:val="00C459C0"/>
    <w:rsid w:val="00C63292"/>
    <w:rsid w:val="00C67A70"/>
    <w:rsid w:val="00C929CE"/>
    <w:rsid w:val="00CE0F75"/>
    <w:rsid w:val="00CE7D6E"/>
    <w:rsid w:val="00D603C3"/>
    <w:rsid w:val="00D60A48"/>
    <w:rsid w:val="00D85D69"/>
    <w:rsid w:val="00DC15BB"/>
    <w:rsid w:val="00DC6C4E"/>
    <w:rsid w:val="00DD2D9B"/>
    <w:rsid w:val="00E15C35"/>
    <w:rsid w:val="00E40A33"/>
    <w:rsid w:val="00E66754"/>
    <w:rsid w:val="00E6682D"/>
    <w:rsid w:val="00E70280"/>
    <w:rsid w:val="00E819A5"/>
    <w:rsid w:val="00EA168E"/>
    <w:rsid w:val="00EC4339"/>
    <w:rsid w:val="00ED44D1"/>
    <w:rsid w:val="00EF2BD6"/>
    <w:rsid w:val="00EF70F1"/>
    <w:rsid w:val="00F21F6A"/>
    <w:rsid w:val="00F55B17"/>
    <w:rsid w:val="00F70015"/>
    <w:rsid w:val="00F965FA"/>
    <w:rsid w:val="00FB1834"/>
    <w:rsid w:val="00FB5957"/>
    <w:rsid w:val="00FC6DF5"/>
    <w:rsid w:val="00FC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DC"/>
  </w:style>
  <w:style w:type="paragraph" w:styleId="2">
    <w:name w:val="heading 2"/>
    <w:basedOn w:val="a"/>
    <w:next w:val="a"/>
    <w:link w:val="20"/>
    <w:semiHidden/>
    <w:unhideWhenUsed/>
    <w:qFormat/>
    <w:rsid w:val="005651EF"/>
    <w:pPr>
      <w:keepNext/>
      <w:suppressAutoHyphens/>
      <w:spacing w:after="0" w:line="240" w:lineRule="auto"/>
      <w:ind w:left="1525" w:hanging="3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4E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4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8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8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defaultparagraphfont-000004">
    <w:name w:val="pt-defaultparagraphfont-000004"/>
    <w:basedOn w:val="a0"/>
    <w:rsid w:val="00684E8D"/>
  </w:style>
  <w:style w:type="table" w:styleId="a6">
    <w:name w:val="Table Grid"/>
    <w:basedOn w:val="a1"/>
    <w:uiPriority w:val="59"/>
    <w:rsid w:val="00684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EC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FollowedHyperlink"/>
    <w:basedOn w:val="a0"/>
    <w:uiPriority w:val="99"/>
    <w:semiHidden/>
    <w:unhideWhenUsed/>
    <w:rsid w:val="00A306C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5651EF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8">
    <w:name w:val="Body Text"/>
    <w:basedOn w:val="a"/>
    <w:link w:val="a9"/>
    <w:semiHidden/>
    <w:unhideWhenUsed/>
    <w:rsid w:val="005651EF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5651EF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56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1E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9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2EDA"/>
  </w:style>
  <w:style w:type="paragraph" w:styleId="ae">
    <w:name w:val="footer"/>
    <w:basedOn w:val="a"/>
    <w:link w:val="af"/>
    <w:uiPriority w:val="99"/>
    <w:semiHidden/>
    <w:unhideWhenUsed/>
    <w:rsid w:val="0089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62259ABDB2546585C70B010269D7DEF7A73B13F298B02230A0DE8EDDE66E53383BB30D9D7DF9FD4C21E3D7171B3D1D4A58507962jB3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62259ABDB2546585C70B010269D7DEF7A73B13F298B02230A0DE8EDDE66E53383BB30C9C7DF9FD4C21E3D7171B3D1D4A58507962jB3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62259ABDB2546585C70B010269D7DEF7A73B13F298B02230A0DE8EDDE66E53383BB30C907CF9FD4C21E3D7171B3D1D4A58507962jB3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62259ABDB2546585C70B010269D7DEF7A43517F29FB02230A0DE8EDDE66E53383BB309917EF9FD4C21E3D7171B3D1D4A58507962jB3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DBC1-39FC-4671-8DCF-30B77DDC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8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2023-09-22T02:45:00Z</cp:lastPrinted>
  <dcterms:created xsi:type="dcterms:W3CDTF">2021-09-24T04:14:00Z</dcterms:created>
  <dcterms:modified xsi:type="dcterms:W3CDTF">2024-09-30T09:51:00Z</dcterms:modified>
</cp:coreProperties>
</file>